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山东立捷科技信息服务有限公司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 许锡明 联系电话 15092490363  不需要身份证信息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项目类型：平台类、人才类、资金类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项目级别：国家级、省级、市级、区级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主管部门划分：科技、工信、发改、文旅、人社、商务等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项目申报流程：之前拍过照片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 属于申报要求  附件二 属于上传申报书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jIwYjFhNGIyYWIzNDc0MWJkNzg2ZjY0MGNmNDYifQ=="/>
  </w:docVars>
  <w:rsids>
    <w:rsidRoot w:val="00000000"/>
    <w:rsid w:val="06BD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2024-03-09T02:40:13Z</dcterms:created>
  <dc:creator>mj</dc:creator>
  <cp:lastModifiedBy>88分的男人</cp:lastModifiedBy>
  <dcterms:modified xsi:type="dcterms:W3CDTF">2024-03-09T02:47:33Z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A1168AF8F7B649BC9005AE2E84FF5300_12</vt:lpwstr>
  </property>
</Properties>
</file>